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E2" w:rsidRPr="00C012E3" w:rsidRDefault="00A555E2" w:rsidP="00A555E2">
      <w:pPr>
        <w:keepNext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012E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Паспорт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культуры в Заларинском районе на 2025-2027годы»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муниципального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«Заларинский район» от 25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№4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6769" w:type="dxa"/>
            <w:vAlign w:val="center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МО «Заларинский район»</w:t>
            </w:r>
          </w:p>
        </w:tc>
      </w:tr>
      <w:tr w:rsidR="00A555E2" w:rsidRPr="00C012E3" w:rsidTr="00B471FE">
        <w:trPr>
          <w:trHeight w:val="1048"/>
        </w:trPr>
        <w:tc>
          <w:tcPr>
            <w:tcW w:w="2802" w:type="dxa"/>
          </w:tcPr>
          <w:p w:rsidR="00A555E2" w:rsidRPr="00C012E3" w:rsidRDefault="00A555E2" w:rsidP="00B471FE">
            <w:pPr>
              <w:keepNext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Комитет по культуре администрации МО «Заларинский район», ММБУК «Родник», МБУК «Заларинская ЦБС», МБУК «Заларинский РКМ», МБУ ДО «ДШИ» </w:t>
            </w:r>
            <w:proofErr w:type="spell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алари</w:t>
            </w:r>
            <w:proofErr w:type="spell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МБУ ДО «ДШИ п.Тыреть».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№1)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казенного учреждения Комитет по культуре администрации муниципального образования «Заларинский район» на 2025-2027 годы»;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№2)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дополнительного образования  «Детская школа искусств» п. Залари на 2025-2027 годы»; (Приложение №3)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дополнительного образования  «Детская школа искусств п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ыреть» на 2025-2027 годы»; (Приложение №4)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подпрограмма «Развитие межпоселенческого муниципального бюджетного учреждения культуры «Родник» на 2025-2027 годы»;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№5)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культуры «Заларинский районный краеведческий музей» на 2025-2027 годы»;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№6)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культуры «Заларинская централизованная библиотечная система» на 2025-2027 годы»; (Приложение №7)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туризма на территории Заларинского района на 2025-2027 годы».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№8)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казачьего общества на территории Заларинского района на 2025-2027 годы».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благоприятной культурной среды для воспитания и развития личности, формирование у жителей позитивных ценностей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Координирование учреждений культуры при участии в целевых программах;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 учреждения заработной платой;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материально-техническим оснащением рабочих мест;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Адресная социальная поддержка ветеранов;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творческого и культурного развития ветеранов</w:t>
            </w: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, путём организации культурно-массовой работы;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Поддержка, реабилитация и социализация лиц выполняющих (выполнявших) задачи в ходе СВО, и членов их семей;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патриотической направленности, сборе гуманитарной и материальной помощи в поддержку участников СВО;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Эффективное использование средств муниципального бюджета, предоставляемое на поддержку и развитие МБУДО «ДШИ» </w:t>
            </w:r>
            <w:proofErr w:type="spell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алари</w:t>
            </w:r>
            <w:proofErr w:type="spell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контингента учащихся;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образования;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Calibri" w:hAnsi="Times New Roman"/>
                <w:sz w:val="24"/>
                <w:szCs w:val="28"/>
              </w:rPr>
              <w:t xml:space="preserve">Сохранность контингента </w:t>
            </w:r>
            <w:proofErr w:type="gramStart"/>
            <w:r w:rsidRPr="00C012E3">
              <w:rPr>
                <w:rFonts w:ascii="Times New Roman" w:eastAsia="Calibri" w:hAnsi="Times New Roman"/>
                <w:sz w:val="24"/>
                <w:szCs w:val="28"/>
              </w:rPr>
              <w:t>обучающихся</w:t>
            </w:r>
            <w:proofErr w:type="gramEnd"/>
            <w:r w:rsidRPr="00C012E3">
              <w:rPr>
                <w:rFonts w:ascii="Times New Roman" w:eastAsia="Calibri" w:hAnsi="Times New Roman"/>
                <w:sz w:val="24"/>
                <w:szCs w:val="28"/>
              </w:rPr>
              <w:t>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Calibri" w:hAnsi="Times New Roman"/>
                <w:sz w:val="24"/>
                <w:szCs w:val="28"/>
              </w:rPr>
              <w:t>Повышение  качества образования;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sz w:val="24"/>
                <w:szCs w:val="28"/>
              </w:rPr>
            </w:pPr>
            <w:r w:rsidRPr="00C012E3">
              <w:rPr>
                <w:rFonts w:ascii="Times New Roman" w:eastAsia="Calibri" w:hAnsi="Times New Roman"/>
                <w:sz w:val="24"/>
                <w:szCs w:val="28"/>
              </w:rPr>
              <w:t>Разработка и внедрение новых образовательных программ и направлений в учебно-воспитательном процессе;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sz w:val="24"/>
                <w:szCs w:val="28"/>
              </w:rPr>
            </w:pPr>
            <w:r w:rsidRPr="00C012E3">
              <w:rPr>
                <w:rFonts w:ascii="Times New Roman" w:eastAsia="Calibri" w:hAnsi="Times New Roman"/>
                <w:sz w:val="24"/>
                <w:szCs w:val="28"/>
              </w:rPr>
              <w:t>Повышения уровня профессиональной подготовки преподавателей;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sz w:val="24"/>
                <w:szCs w:val="28"/>
              </w:rPr>
            </w:pPr>
            <w:r w:rsidRPr="00C012E3">
              <w:rPr>
                <w:rFonts w:ascii="Times New Roman" w:eastAsia="Calibri" w:hAnsi="Times New Roman"/>
                <w:sz w:val="24"/>
                <w:szCs w:val="28"/>
              </w:rPr>
              <w:t>Развитие творческих способностей учащихся;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возможностей для потребления жителями услуг сферы культуры;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Развитие сферы платных услуг культуры, увеличение доходов от их оказания;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основных и вспомогательных музейных предметов;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тематических выставок;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 пользователей;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библиотечного фонда;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туристской отрасли Заларинского района;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различных видов туризма таких как: </w:t>
            </w:r>
            <w:proofErr w:type="gramStart"/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событийный</w:t>
            </w:r>
            <w:proofErr w:type="gramEnd"/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, природно-рекреационный и историко-культурный, паломнический, спортивно-оздоровительный, сельский;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Разработка новых туристических маршрутов;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в туристических целях сельских гостевых домов.</w:t>
            </w:r>
          </w:p>
          <w:p w:rsidR="00A555E2" w:rsidRPr="00C012E3" w:rsidRDefault="00A555E2" w:rsidP="00B471FE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Сохранение духовно-нравственного наследия казачества, содействие возрождению и развитию самобытной культуры казачества, образа жизни, традиций и духовных ценностей казаков;</w:t>
            </w:r>
          </w:p>
          <w:p w:rsidR="00A555E2" w:rsidRPr="00C012E3" w:rsidRDefault="00A555E2" w:rsidP="00B471FE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и распространение исторических, культурных и духовных традиций казачества в воспитательном и образовательном процессе;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физической культуры и массового спорта, пропаганда здорового образа жизни в казачьих обществах.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 для ветеранов и пенсионеров.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посетителей культурно - массовых мероприятий для ветеранов и пенсионеров.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</w:t>
            </w: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материальной помощи участникам СВО.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учащихся.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творческих коллективов.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12E3">
              <w:rPr>
                <w:rFonts w:ascii="yandex-sans" w:hAnsi="yandex-sans"/>
                <w:b/>
                <w:color w:val="000000"/>
                <w:sz w:val="24"/>
                <w:szCs w:val="24"/>
              </w:rPr>
              <w:t xml:space="preserve">Доля учащихся, обучающихся по дополнительным </w:t>
            </w:r>
            <w:proofErr w:type="spellStart"/>
            <w:r w:rsidRPr="00C012E3">
              <w:rPr>
                <w:rFonts w:ascii="yandex-sans" w:hAnsi="yandex-sans"/>
                <w:b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 w:rsidRPr="00C012E3">
              <w:rPr>
                <w:rFonts w:ascii="yandex-sans" w:hAnsi="yandex-sans"/>
                <w:b/>
                <w:color w:val="000000"/>
                <w:sz w:val="24"/>
                <w:szCs w:val="24"/>
              </w:rPr>
              <w:t xml:space="preserve"> общеобразовательным программам в сфере искусств.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r w:rsidRPr="00C012E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рофессиональная</w:t>
            </w: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квалификация </w:t>
            </w:r>
            <w:r w:rsidRPr="00C012E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преподавателей.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культурно-массовых мероприятий.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выставок.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посещений культурно-массовых мероприятий.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средств от приносящей доход деятельности.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предметов.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передвижных выставок музея.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посещаемости музея.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пользователей (читателей).</w:t>
            </w:r>
          </w:p>
          <w:p w:rsidR="00A555E2" w:rsidRPr="00C012E3" w:rsidRDefault="00A555E2" w:rsidP="00B471FE">
            <w:pPr>
              <w:pStyle w:val="a4"/>
              <w:keepNext/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Количество библиографических записей в электронном каталоге.</w:t>
            </w:r>
          </w:p>
          <w:p w:rsidR="00A555E2" w:rsidRPr="00C012E3" w:rsidRDefault="00A555E2" w:rsidP="00B471FE">
            <w:pPr>
              <w:pStyle w:val="a4"/>
              <w:keepNext/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Количество посещаемости библиотеки.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Книго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  <w:proofErr w:type="spellEnd"/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(читателей).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туристов, посещающих Заларинский район.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новых туристических маршрутов.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событийных мероприятий.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гостевых домов.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 для зимнего и летнего отдыха. </w:t>
            </w:r>
          </w:p>
          <w:p w:rsidR="00A555E2" w:rsidRPr="00C012E3" w:rsidRDefault="00A555E2" w:rsidP="00B471FE">
            <w:pPr>
              <w:shd w:val="clear" w:color="auto" w:fill="FFFFFF"/>
              <w:spacing w:beforeAutospacing="0" w:afterAutospacing="0"/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sz w:val="24"/>
                <w:szCs w:val="24"/>
              </w:rPr>
              <w:t>Количество организованных военно-спортивных, военно-патриотических и культурных мероприятий;</w:t>
            </w:r>
          </w:p>
          <w:p w:rsidR="00A555E2" w:rsidRPr="00C012E3" w:rsidRDefault="00A555E2" w:rsidP="00B471FE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Helvetica" w:hAnsi="Times New Roman" w:cs="Helvetica"/>
                <w:color w:val="000000"/>
                <w:sz w:val="24"/>
                <w:szCs w:val="24"/>
                <w:shd w:val="clear" w:color="auto" w:fill="FFFFFF"/>
              </w:rPr>
              <w:t>Количество детских юношеских казачьих объединений открытых в учреждениях культуры района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769" w:type="dxa"/>
            <w:vAlign w:val="center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2025 - 2027 г.г.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69" w:type="dxa"/>
            <w:vAlign w:val="center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366422,0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 в т.ч. по годам: 2025г.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123279,5 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121738,5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121404,0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т.ч. местный 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346668,3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 в т.ч. по годам: 2025г.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116856,1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115156,1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114656,1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т.ч. областной и федеральный 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7340,4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в т.ч. по годам: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т.ч. внебюджетные средства 12413,3 тыс. руб. в т.ч. по годам: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2025г. – 3976,6 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2026г. – 4135,6 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2027г. –  4301,1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A555E2" w:rsidRPr="00C012E3" w:rsidTr="00B471FE">
        <w:tc>
          <w:tcPr>
            <w:tcW w:w="2802" w:type="dxa"/>
          </w:tcPr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769" w:type="dxa"/>
          </w:tcPr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мероприятий для ветеранов и пенсионеров на одно мероприятие каждый год: в 2025г. всего за год 600 мероприятий; 2026г. – 601 мероприятий; на одно мероприятие в 2027г. всего за год 602 мероприятий;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посетителей культурно - массовых мероприятий </w:t>
            </w: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ветеранов и пенсионеров: 2025г.- 9000 человек; 2026г.-9000 человек; 2027г - 9000 человек; </w:t>
            </w:r>
          </w:p>
          <w:p w:rsidR="00A555E2" w:rsidRPr="00C012E3" w:rsidRDefault="00A555E2" w:rsidP="00B471FE">
            <w:pPr>
              <w:pStyle w:val="a4"/>
              <w:spacing w:beforeAutospacing="0" w:afterAutospacing="0"/>
              <w:ind w:left="0"/>
              <w:rPr>
                <w:color w:val="000000"/>
                <w:sz w:val="24"/>
                <w:szCs w:val="24"/>
              </w:rPr>
            </w:pPr>
            <w:r w:rsidRPr="00C012E3">
              <w:rPr>
                <w:color w:val="000000"/>
                <w:sz w:val="24"/>
                <w:szCs w:val="24"/>
              </w:rPr>
              <w:t>Количество суммы для оказания материальной помощи участникам СВО: 2025г – 500000 руб.; 2026г.- 500000 руб.; 2027г. – 500000 руб.</w:t>
            </w:r>
          </w:p>
          <w:p w:rsidR="00A555E2" w:rsidRPr="00C012E3" w:rsidRDefault="00A555E2" w:rsidP="00B471FE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 контингента учащихся каждый год на 2 чел: в 2025г. всего 294 чел.; в 2026г. всего 296 чел.; в 2027г. всего 298 чел.</w:t>
            </w:r>
          </w:p>
          <w:p w:rsidR="00A555E2" w:rsidRPr="00C012E3" w:rsidRDefault="00A555E2" w:rsidP="00B471FE">
            <w:pPr>
              <w:pStyle w:val="a4"/>
              <w:shd w:val="clear" w:color="auto" w:fill="FFFFFF"/>
              <w:spacing w:beforeAutospacing="0" w:afterAutospacing="0"/>
              <w:ind w:left="0"/>
              <w:rPr>
                <w:b/>
                <w:color w:val="000000"/>
                <w:sz w:val="24"/>
                <w:szCs w:val="24"/>
              </w:rPr>
            </w:pPr>
            <w:r w:rsidRPr="00C012E3">
              <w:rPr>
                <w:b/>
                <w:color w:val="000000" w:themeColor="text1"/>
                <w:sz w:val="24"/>
                <w:szCs w:val="24"/>
              </w:rPr>
              <w:t>Сохранение контингента учащихся: 2025г. – 100 %; 2026г – 100 %; 2027г. – 100 %.</w:t>
            </w:r>
          </w:p>
          <w:p w:rsidR="00A555E2" w:rsidRPr="00C012E3" w:rsidRDefault="00A555E2" w:rsidP="00B471FE">
            <w:pPr>
              <w:pStyle w:val="a4"/>
              <w:shd w:val="clear" w:color="auto" w:fill="FFFFFF"/>
              <w:spacing w:beforeAutospacing="0" w:afterAutospacing="0"/>
              <w:ind w:left="0"/>
              <w:rPr>
                <w:b/>
                <w:color w:val="000000"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</w:t>
            </w:r>
            <w:r w:rsidRPr="00C012E3">
              <w:rPr>
                <w:b/>
                <w:color w:val="000000" w:themeColor="text1"/>
                <w:sz w:val="24"/>
                <w:szCs w:val="24"/>
              </w:rPr>
              <w:t xml:space="preserve"> творческих коллективов каждый год на 1 коллектив: 2025г. - 15 коллективов; 2026г - 16 коллективов; 2027г - 17 коллективов.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/>
                <w:b/>
                <w:sz w:val="24"/>
                <w:szCs w:val="24"/>
              </w:rPr>
              <w:t xml:space="preserve">Доля учащихся, обучающихся по дополнительным </w:t>
            </w:r>
            <w:proofErr w:type="spellStart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предпрофессиональным</w:t>
            </w:r>
            <w:proofErr w:type="spellEnd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общеобразовательным программам в сфере искусств каждый год на 5 обучающихся: 2025г. – 168 </w:t>
            </w:r>
            <w:proofErr w:type="spellStart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обуч</w:t>
            </w:r>
            <w:proofErr w:type="spellEnd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 xml:space="preserve">.; 2026г. – 173 </w:t>
            </w:r>
            <w:proofErr w:type="spellStart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обуч</w:t>
            </w:r>
            <w:proofErr w:type="spellEnd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 xml:space="preserve">.; 2027г. – 178 </w:t>
            </w:r>
            <w:proofErr w:type="spellStart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обуч</w:t>
            </w:r>
            <w:proofErr w:type="spellEnd"/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контингента  учащихся: на 2 чел. в </w:t>
            </w:r>
            <w:r w:rsidRPr="00C012E3">
              <w:rPr>
                <w:rFonts w:ascii="Times New Roman" w:hAnsi="Times New Roman"/>
                <w:sz w:val="24"/>
                <w:szCs w:val="24"/>
              </w:rPr>
              <w:t>2024г. всего 179 чел.; 2025г. - 182 чел.; 2026г. - 184 чел.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контингента: 2025г – 85%; 2026г – 85%; 2027г – 85%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</w:t>
            </w:r>
            <w:r w:rsidRPr="00C012E3">
              <w:rPr>
                <w:rFonts w:ascii="Times New Roman" w:eastAsia="Calibri" w:hAnsi="Times New Roman"/>
                <w:sz w:val="24"/>
                <w:szCs w:val="24"/>
              </w:rPr>
              <w:t>профессиональной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квалификации </w:t>
            </w:r>
            <w:r w:rsidRPr="00C012E3">
              <w:rPr>
                <w:rFonts w:ascii="Times New Roman" w:eastAsia="Calibri" w:hAnsi="Times New Roman"/>
                <w:sz w:val="24"/>
                <w:szCs w:val="24"/>
              </w:rPr>
              <w:t xml:space="preserve">преподавателей: </w:t>
            </w:r>
            <w:r w:rsidRPr="00C012E3">
              <w:rPr>
                <w:rFonts w:ascii="Times New Roman" w:hAnsi="Times New Roman"/>
                <w:sz w:val="24"/>
                <w:szCs w:val="24"/>
              </w:rPr>
              <w:t>2025г. - 2 чел.; 2026г. - 2 чел.; 2027г. - 2 чел.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творческих коллективов: 2025г - 100% (7 коллективов); 2026г - 100% (7 коллективов); 2027г - 100% (7 коллективов).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sz w:val="24"/>
                <w:szCs w:val="24"/>
              </w:rPr>
              <w:t xml:space="preserve">Доля  учащихся, обучающихся по дополнительным </w:t>
            </w:r>
            <w:proofErr w:type="spellStart"/>
            <w:r w:rsidRPr="00C012E3">
              <w:rPr>
                <w:rFonts w:ascii="Times New Roman" w:hAnsi="Times New Roman"/>
                <w:sz w:val="24"/>
                <w:szCs w:val="24"/>
              </w:rPr>
              <w:t>предпрофессиональным</w:t>
            </w:r>
            <w:proofErr w:type="spellEnd"/>
            <w:r w:rsidRPr="00C012E3">
              <w:rPr>
                <w:rFonts w:ascii="Times New Roman" w:hAnsi="Times New Roman"/>
                <w:sz w:val="24"/>
                <w:szCs w:val="24"/>
              </w:rPr>
              <w:t>, общеобразовательным программам в сфере искусств: 2025г. – 50%, 2026г. – 51%. 2027г. – 52%.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культурно-массовых мероприятий каждый год на одно мероприятия: 2025г. всего-225; 2026г. всего-226; 2027г. всего – 227.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выставок каждый год на одну выставку: 2025г. всего-12; 2026г. всего-13; 2027г. всего – 14.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посещений культурно-массовых мероприятий каждый год на 10 чел.: 2025г. всего-69078 чел.; 2026г. всего-69088 чел.; 2027 г. всего – 69098 чел.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посещений проката фильмов </w:t>
            </w:r>
            <w:proofErr w:type="spellStart"/>
            <w:proofErr w:type="gramStart"/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кино-зала</w:t>
            </w:r>
            <w:proofErr w:type="spellEnd"/>
            <w:proofErr w:type="gramEnd"/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ММБУК «Родник» каждый год на 10 чел.: 2025г. всего-10108 чел.; 2026г. всего-10118 чел.; 2027г. всего – 19128 чел.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средств от приносящей доход деятельности каждый год на 4 %: 2025г. всего-3561,2  тыс</w:t>
            </w:r>
            <w:proofErr w:type="gramStart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уб., 2026г. всего-3703,6тыс.руб., 2027г. всего – 3851,7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предметов ОФ и НВФ на 120 - единиц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:        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2025 г. всего - 12 120 ед.; 2026 г. всего - 12 240 ед.; 2027 г. всего - 12 360 ед.;</w:t>
            </w:r>
            <w:proofErr w:type="gramEnd"/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передвижных выставок каждый год на 1 единиц: 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2025 г. всего - 6 ед., 2026 г. всего - 7  ед., 2027 г. всего - 8 ед.;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посещаемости в музее каждый год на 60 чел.: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 2025 г. всего - 2 435 чел., 2026 г. всего - 2 495 чел., 2027 г. всего - 2 555 чел.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количества посещаемости вне музея каждый год </w:t>
            </w:r>
            <w:r w:rsidRPr="00C01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60 чел.: 2025 г. всего - 4 648 чел., 2026 г. всего - 4 708 чел., 2027 г. всего - 4 768 чел.</w:t>
            </w:r>
          </w:p>
          <w:p w:rsidR="00A555E2" w:rsidRPr="00C012E3" w:rsidRDefault="00A555E2" w:rsidP="00B471FE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 xml:space="preserve">Увеличение количества пользователей каждый год на 50 чел.:   2025г. всего 5210 чел.; 2026г. -  5260 чел.; 2027 г.- 5310 </w:t>
            </w:r>
          </w:p>
          <w:p w:rsidR="00A555E2" w:rsidRPr="00C012E3" w:rsidRDefault="00A555E2" w:rsidP="00B471FE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 количества посещаемости библиотеки каждый год на 1ед. (посещений / посетителей)  2025 г. – 12,6; 2026 г. – 13,6; 2027 – 14,6.</w:t>
            </w:r>
          </w:p>
          <w:p w:rsidR="00A555E2" w:rsidRPr="00C012E3" w:rsidRDefault="00A555E2" w:rsidP="00B471FE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Увеличение количества библиографических записей в     электронном каталоге  ЦБ каждый год на 200 записей:    2025 г.- 23146 </w:t>
            </w:r>
            <w:proofErr w:type="spellStart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</w:t>
            </w:r>
            <w:proofErr w:type="spellEnd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.; 2026 г.- 23346 </w:t>
            </w:r>
            <w:proofErr w:type="spellStart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</w:t>
            </w:r>
            <w:proofErr w:type="spellEnd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.; 2027 г. – 23546 </w:t>
            </w:r>
            <w:proofErr w:type="spellStart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</w:t>
            </w:r>
            <w:proofErr w:type="spellEnd"/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555E2" w:rsidRPr="00C012E3" w:rsidRDefault="00A555E2" w:rsidP="00B471FE">
            <w:pPr>
              <w:pStyle w:val="ConsPlusNormal"/>
              <w:widowControl/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Сохранение </w:t>
            </w:r>
            <w:proofErr w:type="spellStart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книгообеспеченности</w:t>
            </w:r>
            <w:proofErr w:type="spellEnd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пользователей (читателей):  2025г. – 6,2;  2026 г. – 6,2; 2027 – 6,2.</w:t>
            </w:r>
          </w:p>
          <w:p w:rsidR="00A555E2" w:rsidRPr="00C012E3" w:rsidRDefault="00A555E2" w:rsidP="00B471FE">
            <w:pPr>
              <w:pStyle w:val="ConsPlusNormal"/>
              <w:widowControl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туристов, посещающих Заларинский район, каждый год на 30 чел.: 2025г. всего 2170 чел; 2026г. всего 2200 чел. 2027г. всего  2230 чел.</w:t>
            </w:r>
          </w:p>
          <w:p w:rsidR="00A555E2" w:rsidRPr="00C012E3" w:rsidRDefault="00A555E2" w:rsidP="00B471FE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новых туристических маршрутов на один каждый год: 2025г. всего 4; 2026г всего 5; 2027г. всего 6.</w:t>
            </w:r>
          </w:p>
          <w:p w:rsidR="00A555E2" w:rsidRPr="00C012E3" w:rsidRDefault="00A555E2" w:rsidP="00B471FE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 событийных мероприятий каждый год на одно мероприятие:2025г. всего 10; 2026г. всего 11; 2027г. всего 12.</w:t>
            </w:r>
          </w:p>
          <w:p w:rsidR="00A555E2" w:rsidRPr="00C012E3" w:rsidRDefault="00A555E2" w:rsidP="00B471FE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гостевых домов каждый год на один дом:; 2025г. – 5; 2026г. – 6; 2027г. – 7.</w:t>
            </w:r>
          </w:p>
          <w:p w:rsidR="00A555E2" w:rsidRPr="00C012E3" w:rsidRDefault="00A555E2" w:rsidP="00B471FE">
            <w:pPr>
              <w:pStyle w:val="a4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Увеличение количества мест для зимнего и летнего отдыха каждый год на одно место:2025г. всего 9; 2026г. всего 10; 2027г. всего 11.</w:t>
            </w:r>
          </w:p>
          <w:p w:rsidR="00A555E2" w:rsidRPr="00C012E3" w:rsidRDefault="00A555E2" w:rsidP="00B471FE">
            <w:pPr>
              <w:pStyle w:val="a4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Autospacing="0" w:afterAutospacing="0"/>
              <w:ind w:left="0"/>
              <w:rPr>
                <w:b/>
                <w:sz w:val="24"/>
                <w:szCs w:val="24"/>
                <w:u w:color="000000"/>
              </w:rPr>
            </w:pPr>
            <w:r w:rsidRPr="00C012E3">
              <w:rPr>
                <w:b/>
                <w:sz w:val="24"/>
                <w:szCs w:val="24"/>
              </w:rPr>
              <w:t>Увеличение</w:t>
            </w:r>
            <w:r w:rsidRPr="00C012E3">
              <w:rPr>
                <w:rFonts w:eastAsia="Arial Unicode MS"/>
                <w:b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C012E3">
              <w:rPr>
                <w:rFonts w:eastAsia="Arial Unicode MS"/>
                <w:b/>
                <w:sz w:val="24"/>
                <w:szCs w:val="24"/>
                <w:u w:color="000000"/>
              </w:rPr>
              <w:t>военно-спортивных</w:t>
            </w:r>
            <w:proofErr w:type="gramEnd"/>
            <w:r w:rsidRPr="00C012E3">
              <w:rPr>
                <w:rFonts w:eastAsia="Arial Unicode MS"/>
                <w:b/>
                <w:sz w:val="24"/>
                <w:szCs w:val="24"/>
                <w:u w:color="000000"/>
              </w:rPr>
              <w:t>, военно-патриотических и культурных мероприятий</w:t>
            </w:r>
            <w:r w:rsidRPr="00C012E3">
              <w:rPr>
                <w:b/>
                <w:sz w:val="24"/>
                <w:szCs w:val="24"/>
              </w:rPr>
              <w:t xml:space="preserve"> каждый год на одно</w:t>
            </w:r>
            <w:r w:rsidRPr="00C012E3">
              <w:rPr>
                <w:rFonts w:eastAsia="Arial Unicode MS"/>
                <w:b/>
                <w:sz w:val="24"/>
                <w:szCs w:val="24"/>
                <w:u w:color="000000"/>
              </w:rPr>
              <w:t>: 2025г.- 3 шт.; 2026г. – 4 шт.; 2027г. – 5 шт.</w:t>
            </w:r>
          </w:p>
          <w:p w:rsidR="00A555E2" w:rsidRPr="00C012E3" w:rsidRDefault="00A555E2" w:rsidP="00B471FE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Увеличение</w:t>
            </w:r>
            <w:r w:rsidRPr="00C012E3">
              <w:rPr>
                <w:rFonts w:ascii="Times New Roman" w:eastAsia="Helvetica" w:hAnsi="Times New Roman" w:cs="Helvetica"/>
                <w:b/>
                <w:color w:val="000000"/>
                <w:sz w:val="24"/>
                <w:szCs w:val="24"/>
                <w:shd w:val="clear" w:color="auto" w:fill="FFFFFF"/>
              </w:rPr>
              <w:t xml:space="preserve"> количества детских юношеских казачьих объединений, открытых в учреждениях культуры района каждый год на одно: </w:t>
            </w:r>
            <w:r w:rsidRPr="00C012E3">
              <w:rPr>
                <w:rFonts w:ascii="Times New Roman" w:eastAsia="Helvetica" w:hAnsi="Times New Roman" w:cs="Helvetica"/>
                <w:b/>
                <w:color w:val="000000"/>
                <w:sz w:val="24"/>
                <w:szCs w:val="24"/>
              </w:rPr>
              <w:t>2025г. - 4, 2026г.- 5</w:t>
            </w:r>
            <w:r w:rsidRPr="00C012E3">
              <w:rPr>
                <w:rFonts w:ascii="Times New Roman" w:eastAsia="Helvetica" w:hAnsi="Times New Roman" w:cs="Helvetica"/>
                <w:b/>
                <w:color w:val="000000"/>
                <w:sz w:val="24"/>
                <w:szCs w:val="24"/>
                <w:shd w:val="clear" w:color="auto" w:fill="FFFFFF"/>
              </w:rPr>
              <w:t>, 2027г. - 6.</w:t>
            </w:r>
          </w:p>
        </w:tc>
      </w:tr>
    </w:tbl>
    <w:p w:rsidR="00817438" w:rsidRPr="00274982" w:rsidRDefault="00817438" w:rsidP="00274982">
      <w:pPr>
        <w:rPr>
          <w:szCs w:val="24"/>
        </w:rPr>
      </w:pPr>
    </w:p>
    <w:sectPr w:rsidR="00817438" w:rsidRPr="00274982" w:rsidSect="00274982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32706"/>
    <w:multiLevelType w:val="hybridMultilevel"/>
    <w:tmpl w:val="31D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3241E"/>
    <w:multiLevelType w:val="hybridMultilevel"/>
    <w:tmpl w:val="4C12B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3BF1"/>
    <w:multiLevelType w:val="multilevel"/>
    <w:tmpl w:val="979EF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1E037B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6A8D625A"/>
    <w:multiLevelType w:val="hybridMultilevel"/>
    <w:tmpl w:val="9B404F44"/>
    <w:lvl w:ilvl="0" w:tplc="EB908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95288F"/>
    <w:multiLevelType w:val="hybridMultilevel"/>
    <w:tmpl w:val="7C60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0F64F4"/>
    <w:multiLevelType w:val="hybridMultilevel"/>
    <w:tmpl w:val="A3BAACFA"/>
    <w:lvl w:ilvl="0" w:tplc="841EE99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DB7557"/>
    <w:multiLevelType w:val="hybridMultilevel"/>
    <w:tmpl w:val="CD5CED8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7CD5051"/>
    <w:multiLevelType w:val="hybridMultilevel"/>
    <w:tmpl w:val="FBCC8A2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7DD3626B"/>
    <w:multiLevelType w:val="hybridMultilevel"/>
    <w:tmpl w:val="1C4A939A"/>
    <w:lvl w:ilvl="0" w:tplc="A4247D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5341B"/>
    <w:multiLevelType w:val="hybridMultilevel"/>
    <w:tmpl w:val="B4B4EA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6"/>
  </w:num>
  <w:num w:numId="4">
    <w:abstractNumId w:val="12"/>
  </w:num>
  <w:num w:numId="5">
    <w:abstractNumId w:val="3"/>
  </w:num>
  <w:num w:numId="6">
    <w:abstractNumId w:val="13"/>
  </w:num>
  <w:num w:numId="7">
    <w:abstractNumId w:val="9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0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7438"/>
    <w:rsid w:val="000302E3"/>
    <w:rsid w:val="00037B95"/>
    <w:rsid w:val="000973B9"/>
    <w:rsid w:val="000A1E21"/>
    <w:rsid w:val="000A21D9"/>
    <w:rsid w:val="000A64D0"/>
    <w:rsid w:val="000C4ABA"/>
    <w:rsid w:val="000D664E"/>
    <w:rsid w:val="000E4995"/>
    <w:rsid w:val="000F09CC"/>
    <w:rsid w:val="000F4695"/>
    <w:rsid w:val="000F74DF"/>
    <w:rsid w:val="00110108"/>
    <w:rsid w:val="00115395"/>
    <w:rsid w:val="00123B93"/>
    <w:rsid w:val="00124EA4"/>
    <w:rsid w:val="00125DF6"/>
    <w:rsid w:val="0012663C"/>
    <w:rsid w:val="0013319F"/>
    <w:rsid w:val="001354E0"/>
    <w:rsid w:val="001961FA"/>
    <w:rsid w:val="001B0550"/>
    <w:rsid w:val="001D2D52"/>
    <w:rsid w:val="001F75C3"/>
    <w:rsid w:val="00221284"/>
    <w:rsid w:val="00236D14"/>
    <w:rsid w:val="00274982"/>
    <w:rsid w:val="002A48CD"/>
    <w:rsid w:val="002D3B8B"/>
    <w:rsid w:val="002D7ED5"/>
    <w:rsid w:val="002F7CF2"/>
    <w:rsid w:val="0030308F"/>
    <w:rsid w:val="003077A5"/>
    <w:rsid w:val="003269C1"/>
    <w:rsid w:val="00344B10"/>
    <w:rsid w:val="0035371C"/>
    <w:rsid w:val="00361C51"/>
    <w:rsid w:val="00364F61"/>
    <w:rsid w:val="003849E0"/>
    <w:rsid w:val="003865D7"/>
    <w:rsid w:val="003C0FB8"/>
    <w:rsid w:val="003C702B"/>
    <w:rsid w:val="003D074C"/>
    <w:rsid w:val="003D695D"/>
    <w:rsid w:val="003F544D"/>
    <w:rsid w:val="00414784"/>
    <w:rsid w:val="004322EB"/>
    <w:rsid w:val="0046549F"/>
    <w:rsid w:val="004B0C72"/>
    <w:rsid w:val="004B2A52"/>
    <w:rsid w:val="004C0FA6"/>
    <w:rsid w:val="004C7B7C"/>
    <w:rsid w:val="004E0BDF"/>
    <w:rsid w:val="004F2CC6"/>
    <w:rsid w:val="004F7FCF"/>
    <w:rsid w:val="005050A7"/>
    <w:rsid w:val="005067BA"/>
    <w:rsid w:val="00510C06"/>
    <w:rsid w:val="00514F27"/>
    <w:rsid w:val="00521B73"/>
    <w:rsid w:val="005252A8"/>
    <w:rsid w:val="00540E9D"/>
    <w:rsid w:val="005416D6"/>
    <w:rsid w:val="00543B06"/>
    <w:rsid w:val="00563841"/>
    <w:rsid w:val="00590BFF"/>
    <w:rsid w:val="005A30B5"/>
    <w:rsid w:val="005A426C"/>
    <w:rsid w:val="005B2D9D"/>
    <w:rsid w:val="005C4B1F"/>
    <w:rsid w:val="005D27E9"/>
    <w:rsid w:val="005D3FC4"/>
    <w:rsid w:val="005D6341"/>
    <w:rsid w:val="005F2889"/>
    <w:rsid w:val="005F7738"/>
    <w:rsid w:val="005F7E59"/>
    <w:rsid w:val="00627D17"/>
    <w:rsid w:val="00641D65"/>
    <w:rsid w:val="006429AD"/>
    <w:rsid w:val="00647238"/>
    <w:rsid w:val="00650CA0"/>
    <w:rsid w:val="0065259C"/>
    <w:rsid w:val="00654EA2"/>
    <w:rsid w:val="0067585C"/>
    <w:rsid w:val="00696B75"/>
    <w:rsid w:val="00697D47"/>
    <w:rsid w:val="006B68F0"/>
    <w:rsid w:val="006D421C"/>
    <w:rsid w:val="006F0A14"/>
    <w:rsid w:val="006F44D9"/>
    <w:rsid w:val="00704CF8"/>
    <w:rsid w:val="00715F7A"/>
    <w:rsid w:val="007256D8"/>
    <w:rsid w:val="00754640"/>
    <w:rsid w:val="00755AF6"/>
    <w:rsid w:val="00756975"/>
    <w:rsid w:val="0075768D"/>
    <w:rsid w:val="00777ADB"/>
    <w:rsid w:val="007A4617"/>
    <w:rsid w:val="007B7585"/>
    <w:rsid w:val="007F0126"/>
    <w:rsid w:val="007F58BC"/>
    <w:rsid w:val="00805E44"/>
    <w:rsid w:val="00817438"/>
    <w:rsid w:val="00817775"/>
    <w:rsid w:val="008179BE"/>
    <w:rsid w:val="00823D50"/>
    <w:rsid w:val="00826B21"/>
    <w:rsid w:val="00865623"/>
    <w:rsid w:val="00870BC7"/>
    <w:rsid w:val="00875515"/>
    <w:rsid w:val="00890A33"/>
    <w:rsid w:val="00892F24"/>
    <w:rsid w:val="008A2DA6"/>
    <w:rsid w:val="008B122C"/>
    <w:rsid w:val="008B7056"/>
    <w:rsid w:val="008C0410"/>
    <w:rsid w:val="008D4286"/>
    <w:rsid w:val="008F3291"/>
    <w:rsid w:val="00902B4C"/>
    <w:rsid w:val="009630EA"/>
    <w:rsid w:val="009727BC"/>
    <w:rsid w:val="00972C4F"/>
    <w:rsid w:val="0098650D"/>
    <w:rsid w:val="009F2729"/>
    <w:rsid w:val="00A05B0C"/>
    <w:rsid w:val="00A43C8C"/>
    <w:rsid w:val="00A555E2"/>
    <w:rsid w:val="00A80657"/>
    <w:rsid w:val="00AA0D04"/>
    <w:rsid w:val="00AD22E6"/>
    <w:rsid w:val="00B52C5D"/>
    <w:rsid w:val="00B66544"/>
    <w:rsid w:val="00B767A8"/>
    <w:rsid w:val="00B77C22"/>
    <w:rsid w:val="00B8466F"/>
    <w:rsid w:val="00B857C3"/>
    <w:rsid w:val="00BA3D26"/>
    <w:rsid w:val="00BC1F55"/>
    <w:rsid w:val="00BD22C9"/>
    <w:rsid w:val="00BE6CF2"/>
    <w:rsid w:val="00BF0E64"/>
    <w:rsid w:val="00C30D72"/>
    <w:rsid w:val="00C329F5"/>
    <w:rsid w:val="00C42761"/>
    <w:rsid w:val="00C519BD"/>
    <w:rsid w:val="00C82F05"/>
    <w:rsid w:val="00C83AA4"/>
    <w:rsid w:val="00C840B0"/>
    <w:rsid w:val="00C84B50"/>
    <w:rsid w:val="00C90F8C"/>
    <w:rsid w:val="00C95110"/>
    <w:rsid w:val="00CB7947"/>
    <w:rsid w:val="00CC0D49"/>
    <w:rsid w:val="00CC799D"/>
    <w:rsid w:val="00CD0F81"/>
    <w:rsid w:val="00CE3AE7"/>
    <w:rsid w:val="00D10659"/>
    <w:rsid w:val="00D22C60"/>
    <w:rsid w:val="00D51C40"/>
    <w:rsid w:val="00D54D10"/>
    <w:rsid w:val="00D81331"/>
    <w:rsid w:val="00D86931"/>
    <w:rsid w:val="00DC2D0E"/>
    <w:rsid w:val="00DC6C32"/>
    <w:rsid w:val="00E1285C"/>
    <w:rsid w:val="00E17502"/>
    <w:rsid w:val="00E22D4B"/>
    <w:rsid w:val="00E25B7F"/>
    <w:rsid w:val="00E36727"/>
    <w:rsid w:val="00E36EA6"/>
    <w:rsid w:val="00E459B6"/>
    <w:rsid w:val="00E47CF6"/>
    <w:rsid w:val="00E638D2"/>
    <w:rsid w:val="00EA7BC1"/>
    <w:rsid w:val="00EC384F"/>
    <w:rsid w:val="00ED5456"/>
    <w:rsid w:val="00ED58B0"/>
    <w:rsid w:val="00F4057A"/>
    <w:rsid w:val="00F6776A"/>
    <w:rsid w:val="00F84698"/>
    <w:rsid w:val="00F87A64"/>
    <w:rsid w:val="00F95FD6"/>
    <w:rsid w:val="00FA5145"/>
    <w:rsid w:val="00FA6B4F"/>
    <w:rsid w:val="00FD0626"/>
    <w:rsid w:val="00FD151F"/>
    <w:rsid w:val="00FF041A"/>
    <w:rsid w:val="00FF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A4"/>
  </w:style>
  <w:style w:type="paragraph" w:styleId="1">
    <w:name w:val="heading 1"/>
    <w:basedOn w:val="a"/>
    <w:next w:val="a"/>
    <w:link w:val="10"/>
    <w:qFormat/>
    <w:rsid w:val="00817438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38"/>
    <w:rPr>
      <w:rFonts w:ascii="Times New Roman" w:eastAsia="Times New Roman" w:hAnsi="Times New Roman" w:cs="Times New Roman"/>
      <w:b/>
      <w:bCs/>
      <w:sz w:val="32"/>
      <w:szCs w:val="20"/>
    </w:rPr>
  </w:style>
  <w:style w:type="table" w:styleId="a3">
    <w:name w:val="Table Grid"/>
    <w:basedOn w:val="a1"/>
    <w:uiPriority w:val="59"/>
    <w:rsid w:val="00817438"/>
    <w:pPr>
      <w:spacing w:beforeAutospacing="1" w:after="0" w:afterAutospacing="1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817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17438"/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8174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817438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17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43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817438"/>
  </w:style>
  <w:style w:type="character" w:customStyle="1" w:styleId="FontStyle14">
    <w:name w:val="Font Style14"/>
    <w:rsid w:val="0081743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817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1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1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174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17438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8174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1743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D9DC2-411B-46EC-8A9F-EC1D3E59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5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251</cp:revision>
  <cp:lastPrinted>2021-01-20T03:03:00Z</cp:lastPrinted>
  <dcterms:created xsi:type="dcterms:W3CDTF">2020-01-31T06:18:00Z</dcterms:created>
  <dcterms:modified xsi:type="dcterms:W3CDTF">2024-11-15T02:41:00Z</dcterms:modified>
</cp:coreProperties>
</file>